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-1142365</wp:posOffset>
            </wp:positionH>
            <wp:positionV relativeFrom="paragraph">
              <wp:posOffset>-987425</wp:posOffset>
            </wp:positionV>
            <wp:extent cx="7552055" cy="189103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51853" cy="189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36" w:lineRule="auto"/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336" w:lineRule="auto"/>
        <w:jc w:val="right"/>
        <w:rPr>
          <w:rFonts w:ascii="仿宋" w:hAnsi="仿宋" w:eastAsia="仿宋"/>
          <w:sz w:val="10"/>
          <w:szCs w:val="10"/>
        </w:rPr>
      </w:pPr>
      <w:r>
        <w:rPr>
          <w:rFonts w:hint="eastAsia" w:ascii="仿宋" w:hAnsi="仿宋" w:eastAsia="仿宋"/>
          <w:sz w:val="28"/>
          <w:szCs w:val="28"/>
        </w:rPr>
        <w:t>粤连协文﹝2020﹞0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号</w:t>
      </w:r>
    </w:p>
    <w:p>
      <w:pPr>
        <w:spacing w:line="336" w:lineRule="auto"/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关于召开广东省连锁经营协会换届大会暨</w:t>
      </w:r>
    </w:p>
    <w:p>
      <w:pPr>
        <w:jc w:val="center"/>
        <w:rPr>
          <w:rFonts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2020广东连锁业大会的通知</w:t>
      </w:r>
    </w:p>
    <w:p>
      <w:pPr>
        <w:spacing w:line="530" w:lineRule="exact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各会员及相关单位：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在广东省民政厅、广东省社会组织管理局的正确领导下，在全体会员企业的大力支持下，广东省连锁经营协会第六届理事会各项工作顺利开展，取得较圆满成绩。现广东省连锁经营协会第六届理事会任期已满，兹定于2020年</w:t>
      </w:r>
      <w:r>
        <w:rPr>
          <w:rFonts w:ascii="仿宋" w:hAnsi="仿宋" w:eastAsia="仿宋" w:cs="仿宋_GB2312"/>
          <w:sz w:val="28"/>
          <w:szCs w:val="28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日在广州召开“广东省连锁经营协会换届大会暨2020广东连锁业大会”，现将会议有关事宜通知如下：</w:t>
      </w:r>
    </w:p>
    <w:p>
      <w:pPr>
        <w:spacing w:line="460" w:lineRule="exact"/>
        <w:ind w:firstLine="562" w:firstLineChars="200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一、会议时间、地点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会议时间：2020年</w:t>
      </w:r>
      <w:r>
        <w:rPr>
          <w:rFonts w:ascii="仿宋" w:hAnsi="仿宋" w:eastAsia="仿宋" w:cs="仿宋_GB2312"/>
          <w:sz w:val="28"/>
          <w:szCs w:val="28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ascii="仿宋" w:hAnsi="仿宋" w:eastAsia="仿宋" w:cs="仿宋_GB2312"/>
          <w:sz w:val="28"/>
          <w:szCs w:val="28"/>
        </w:rPr>
        <w:t>4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  <w:r>
        <w:rPr>
          <w:rFonts w:ascii="仿宋" w:hAnsi="仿宋" w:eastAsia="仿宋" w:cs="仿宋_GB2312"/>
          <w:sz w:val="28"/>
          <w:szCs w:val="28"/>
        </w:rPr>
        <w:t>09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>30</w:t>
      </w:r>
      <w:r>
        <w:rPr>
          <w:rFonts w:hint="eastAsia" w:ascii="仿宋" w:hAnsi="仿宋" w:eastAsia="仿宋" w:cs="仿宋_GB2312"/>
          <w:sz w:val="28"/>
          <w:szCs w:val="28"/>
        </w:rPr>
        <w:t>-</w:t>
      </w:r>
      <w:r>
        <w:rPr>
          <w:rFonts w:ascii="仿宋" w:hAnsi="仿宋" w:eastAsia="仿宋" w:cs="仿宋_GB2312"/>
          <w:sz w:val="28"/>
          <w:szCs w:val="28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>30</w:t>
      </w:r>
    </w:p>
    <w:p>
      <w:pPr>
        <w:spacing w:line="460" w:lineRule="exact"/>
        <w:ind w:firstLine="1960" w:firstLineChars="7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上午0</w:t>
      </w:r>
      <w:r>
        <w:rPr>
          <w:rFonts w:ascii="仿宋" w:hAnsi="仿宋" w:eastAsia="仿宋" w:cs="仿宋_GB2312"/>
          <w:sz w:val="28"/>
          <w:szCs w:val="28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>30</w:t>
      </w:r>
      <w:r>
        <w:rPr>
          <w:rFonts w:hint="eastAsia" w:ascii="仿宋" w:hAnsi="仿宋" w:eastAsia="仿宋" w:cs="仿宋_GB2312"/>
          <w:sz w:val="28"/>
          <w:szCs w:val="28"/>
        </w:rPr>
        <w:t>-</w:t>
      </w:r>
      <w:r>
        <w:rPr>
          <w:rFonts w:ascii="仿宋" w:hAnsi="仿宋" w:eastAsia="仿宋" w:cs="仿宋_GB2312"/>
          <w:sz w:val="28"/>
          <w:szCs w:val="28"/>
        </w:rPr>
        <w:t>09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 xml:space="preserve">30 </w:t>
      </w:r>
      <w:r>
        <w:rPr>
          <w:rFonts w:hint="eastAsia" w:ascii="仿宋" w:hAnsi="仿宋" w:eastAsia="仿宋" w:cs="仿宋_GB2312"/>
          <w:sz w:val="28"/>
          <w:szCs w:val="28"/>
        </w:rPr>
        <w:t>活动签到；</w:t>
      </w:r>
    </w:p>
    <w:p>
      <w:pPr>
        <w:spacing w:line="460" w:lineRule="exact"/>
        <w:ind w:firstLine="1960" w:firstLineChars="7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全天0</w:t>
      </w:r>
      <w:r>
        <w:rPr>
          <w:rFonts w:ascii="仿宋" w:hAnsi="仿宋" w:eastAsia="仿宋" w:cs="仿宋_GB2312"/>
          <w:sz w:val="28"/>
          <w:szCs w:val="28"/>
        </w:rPr>
        <w:t>9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>30</w:t>
      </w:r>
      <w:r>
        <w:rPr>
          <w:rFonts w:hint="eastAsia" w:ascii="仿宋" w:hAnsi="仿宋" w:eastAsia="仿宋" w:cs="仿宋_GB2312"/>
          <w:sz w:val="28"/>
          <w:szCs w:val="28"/>
        </w:rPr>
        <w:t>-</w:t>
      </w:r>
      <w:r>
        <w:rPr>
          <w:rFonts w:ascii="仿宋" w:hAnsi="仿宋" w:eastAsia="仿宋" w:cs="仿宋_GB2312"/>
          <w:sz w:val="28"/>
          <w:szCs w:val="28"/>
        </w:rPr>
        <w:t>18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 xml:space="preserve">00 </w:t>
      </w:r>
      <w:r>
        <w:rPr>
          <w:rFonts w:hint="eastAsia" w:ascii="仿宋" w:hAnsi="仿宋" w:eastAsia="仿宋" w:cs="仿宋_GB2312"/>
          <w:sz w:val="28"/>
          <w:szCs w:val="28"/>
        </w:rPr>
        <w:t>正式会议</w:t>
      </w:r>
    </w:p>
    <w:p>
      <w:pPr>
        <w:spacing w:line="460" w:lineRule="exact"/>
        <w:ind w:firstLine="1960" w:firstLineChars="7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晚上</w:t>
      </w:r>
      <w:r>
        <w:rPr>
          <w:rFonts w:ascii="仿宋" w:hAnsi="仿宋" w:eastAsia="仿宋" w:cs="仿宋_GB2312"/>
          <w:sz w:val="28"/>
          <w:szCs w:val="28"/>
        </w:rPr>
        <w:t>18</w:t>
      </w:r>
      <w:r>
        <w:rPr>
          <w:rFonts w:hint="eastAsia" w:ascii="仿宋" w:hAnsi="仿宋" w:eastAsia="仿宋" w:cs="仿宋_GB2312"/>
          <w:sz w:val="28"/>
          <w:szCs w:val="28"/>
        </w:rPr>
        <w:t>:</w:t>
      </w:r>
      <w:r>
        <w:rPr>
          <w:rFonts w:ascii="仿宋" w:hAnsi="仿宋" w:eastAsia="仿宋" w:cs="仿宋_GB2312"/>
          <w:sz w:val="28"/>
          <w:szCs w:val="28"/>
        </w:rPr>
        <w:t xml:space="preserve">30-20:30 </w:t>
      </w:r>
      <w:r>
        <w:rPr>
          <w:rFonts w:hint="eastAsia" w:ascii="仿宋" w:hAnsi="仿宋" w:eastAsia="仿宋" w:cs="仿宋_GB2312"/>
          <w:sz w:val="28"/>
          <w:szCs w:val="28"/>
        </w:rPr>
        <w:t>答谢晚宴暨荣耀盛典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会议地点：广州·保利世贸展览中心三楼5号馆</w:t>
      </w:r>
    </w:p>
    <w:p>
      <w:pPr>
        <w:spacing w:line="4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（</w:t>
      </w:r>
      <w:r>
        <w:rPr>
          <w:rFonts w:ascii="Calibri" w:hAnsi="Calibri" w:eastAsia="仿宋" w:cs="Calibri"/>
          <w:sz w:val="28"/>
          <w:szCs w:val="28"/>
        </w:rPr>
        <w:t> </w:t>
      </w:r>
      <w:r>
        <w:rPr>
          <w:rFonts w:hint="eastAsia" w:ascii="仿宋" w:hAnsi="仿宋" w:eastAsia="仿宋" w:cs="仿宋_GB2312"/>
          <w:sz w:val="28"/>
          <w:szCs w:val="28"/>
        </w:rPr>
        <w:t>广州市海珠区新港东路1000号）</w:t>
      </w:r>
    </w:p>
    <w:p>
      <w:pPr>
        <w:spacing w:line="460" w:lineRule="exact"/>
        <w:jc w:val="left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仿宋" w:hAnsi="仿宋" w:eastAsia="仿宋" w:cs="黑体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二、会议主要内容</w:t>
      </w:r>
    </w:p>
    <w:p>
      <w:pPr>
        <w:spacing w:line="46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第一部分：广东省连锁经营协会第七届换届大会暨七届一次会员代表大会（0</w:t>
      </w:r>
      <w:r>
        <w:rPr>
          <w:rFonts w:ascii="仿宋" w:hAnsi="仿宋" w:eastAsia="仿宋" w:cs="黑体"/>
          <w:sz w:val="28"/>
          <w:szCs w:val="28"/>
        </w:rPr>
        <w:t>9</w:t>
      </w:r>
      <w:r>
        <w:rPr>
          <w:rFonts w:hint="eastAsia" w:ascii="仿宋" w:hAnsi="仿宋" w:eastAsia="仿宋" w:cs="黑体"/>
          <w:sz w:val="28"/>
          <w:szCs w:val="28"/>
        </w:rPr>
        <w:t>:</w:t>
      </w:r>
      <w:r>
        <w:rPr>
          <w:rFonts w:ascii="仿宋" w:hAnsi="仿宋" w:eastAsia="仿宋" w:cs="黑体"/>
          <w:sz w:val="28"/>
          <w:szCs w:val="28"/>
        </w:rPr>
        <w:t>30</w:t>
      </w:r>
      <w:r>
        <w:rPr>
          <w:rFonts w:hint="eastAsia" w:ascii="仿宋" w:hAnsi="仿宋" w:eastAsia="仿宋" w:cs="黑体"/>
          <w:sz w:val="28"/>
          <w:szCs w:val="28"/>
        </w:rPr>
        <w:t>-</w:t>
      </w:r>
      <w:r>
        <w:rPr>
          <w:rFonts w:ascii="仿宋" w:hAnsi="仿宋" w:eastAsia="仿宋" w:cs="黑体"/>
          <w:sz w:val="28"/>
          <w:szCs w:val="28"/>
        </w:rPr>
        <w:t>12</w:t>
      </w:r>
      <w:r>
        <w:rPr>
          <w:rFonts w:hint="eastAsia" w:ascii="仿宋" w:hAnsi="仿宋" w:eastAsia="仿宋" w:cs="黑体"/>
          <w:sz w:val="28"/>
          <w:szCs w:val="28"/>
        </w:rPr>
        <w:t>:</w:t>
      </w:r>
      <w:r>
        <w:rPr>
          <w:rFonts w:ascii="仿宋" w:hAnsi="仿宋" w:eastAsia="仿宋" w:cs="黑体"/>
          <w:sz w:val="28"/>
          <w:szCs w:val="28"/>
        </w:rPr>
        <w:t>00</w:t>
      </w:r>
      <w:r>
        <w:rPr>
          <w:rFonts w:hint="eastAsia" w:ascii="仿宋" w:hAnsi="仿宋" w:eastAsia="仿宋" w:cs="黑体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1、审议《广东省</w:t>
      </w:r>
      <w:r>
        <w:rPr>
          <w:rFonts w:hint="eastAsia" w:ascii="仿宋" w:hAnsi="仿宋" w:eastAsia="仿宋" w:cs="黑体"/>
          <w:sz w:val="28"/>
          <w:szCs w:val="28"/>
        </w:rPr>
        <w:t>连锁经营协会</w:t>
      </w:r>
      <w:r>
        <w:rPr>
          <w:rFonts w:hint="eastAsia" w:ascii="仿宋" w:hAnsi="仿宋" w:eastAsia="仿宋"/>
          <w:sz w:val="28"/>
          <w:szCs w:val="28"/>
        </w:rPr>
        <w:t>第六届理事会工作报告》；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、审议《广东</w:t>
      </w:r>
      <w:r>
        <w:rPr>
          <w:rFonts w:hint="eastAsia" w:ascii="仿宋" w:hAnsi="仿宋" w:eastAsia="仿宋" w:cs="黑体"/>
          <w:sz w:val="28"/>
          <w:szCs w:val="28"/>
        </w:rPr>
        <w:t>省连锁经营协会</w:t>
      </w:r>
      <w:r>
        <w:rPr>
          <w:rFonts w:hint="eastAsia" w:ascii="仿宋" w:hAnsi="仿宋" w:eastAsia="仿宋"/>
          <w:sz w:val="28"/>
          <w:szCs w:val="28"/>
        </w:rPr>
        <w:t>第六届理事会财务报告》；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3、投票选举协会新一届理事会、监事成员等；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4、宣读《关于2019年度广东连锁星力量·华标奖的表彰决定》；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5、新一届会长讲话；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6</w:t>
      </w:r>
      <w:r>
        <w:rPr>
          <w:rFonts w:hint="eastAsia" w:ascii="仿宋" w:hAnsi="仿宋" w:eastAsia="仿宋"/>
          <w:sz w:val="28"/>
          <w:szCs w:val="28"/>
        </w:rPr>
        <w:t>、广东省民政厅领导</w:t>
      </w:r>
      <w:r>
        <w:rPr>
          <w:rFonts w:ascii="仿宋" w:hAnsi="仿宋" w:eastAsia="仿宋"/>
          <w:sz w:val="28"/>
          <w:szCs w:val="28"/>
        </w:rPr>
        <w:t>讲话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7、颁发第七届理事会理事、常务理事、副会长、执行会长牌匾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8、颁发第七届理事会秘书长、专职会长、会长、荣誉会长、顾问牌匾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第二部分：参观2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广东国际连锁加盟展（1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14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第三部分：2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广东连锁业大会（1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活动主题：商路崎岖·为美好生活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主题论坛：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议题1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绿色商业为基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议题2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智慧商业为根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议题3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文化商业为魂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第四部分：新产品、新技术、新服务、新项目展示对接（</w:t>
      </w:r>
      <w:r>
        <w:rPr>
          <w:rFonts w:ascii="仿宋" w:hAnsi="仿宋" w:eastAsia="仿宋"/>
          <w:sz w:val="28"/>
          <w:szCs w:val="28"/>
        </w:rPr>
        <w:t>09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00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参展企业</w:t>
      </w:r>
      <w:r>
        <w:rPr>
          <w:rFonts w:hint="eastAsia" w:ascii="仿宋" w:hAnsi="仿宋" w:eastAsia="仿宋"/>
          <w:sz w:val="28"/>
          <w:szCs w:val="28"/>
        </w:rPr>
        <w:t>类型</w:t>
      </w:r>
      <w:r>
        <w:rPr>
          <w:rFonts w:ascii="仿宋" w:hAnsi="仿宋" w:eastAsia="仿宋"/>
          <w:sz w:val="28"/>
          <w:szCs w:val="28"/>
        </w:rPr>
        <w:t>：商业地产、流通软件、管理咨询、数据分析、创意展示、科技硬件、现代科技等。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第五部分：《商路崎岖-孙雄商业文集第三卷》新书发布暨签售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第六部分：2020广东连锁业大会答谢晚宴暨连锁星力量·华标奖荣耀盛典（</w:t>
      </w:r>
      <w:r>
        <w:rPr>
          <w:rFonts w:ascii="仿宋" w:hAnsi="仿宋" w:eastAsia="仿宋"/>
          <w:sz w:val="28"/>
          <w:szCs w:val="28"/>
        </w:rPr>
        <w:t>18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-</w:t>
      </w:r>
      <w:r>
        <w:rPr>
          <w:rFonts w:ascii="仿宋" w:hAnsi="仿宋" w:eastAsia="仿宋"/>
          <w:sz w:val="28"/>
          <w:szCs w:val="28"/>
        </w:rPr>
        <w:t>20</w:t>
      </w:r>
      <w:r>
        <w:rPr>
          <w:rFonts w:hint="eastAsia" w:ascii="仿宋" w:hAnsi="仿宋" w:eastAsia="仿宋"/>
          <w:sz w:val="28"/>
          <w:szCs w:val="28"/>
        </w:rPr>
        <w:t>:</w:t>
      </w:r>
      <w:r>
        <w:rPr>
          <w:rFonts w:ascii="仿宋" w:hAnsi="仿宋" w:eastAsia="仿宋"/>
          <w:sz w:val="28"/>
          <w:szCs w:val="28"/>
        </w:rPr>
        <w:t>30</w:t>
      </w:r>
      <w:r>
        <w:rPr>
          <w:rFonts w:hint="eastAsia" w:ascii="仿宋" w:hAnsi="仿宋" w:eastAsia="仿宋"/>
          <w:sz w:val="28"/>
          <w:szCs w:val="28"/>
        </w:rPr>
        <w:t>）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460" w:lineRule="exact"/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 w:cs="黑体"/>
          <w:b/>
          <w:bCs/>
          <w:sz w:val="28"/>
          <w:szCs w:val="28"/>
        </w:rPr>
        <w:t>三、参会对象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1、定向邀约广东省连锁经营协会新一届理事会领导以及会员单位，政府及行业协会、连锁企业高层，高校科研单位、服务机构以及媒体等单位代表。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2、参加换届大会暨2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广东连锁业大会免费参会名额：执行会长单位及副会长单位5人，常务理事单位4人，理事单位3人，会员单位2人；其他定向邀请单位2人。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3、参加换届大会暨2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广东连锁业大会超出免费参会名额的企业，将收取会务费（含参会及用餐），会员单位1200元/人，非会员单位2000元/人。</w:t>
      </w:r>
    </w:p>
    <w:p>
      <w:pPr>
        <w:spacing w:line="46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4、参观2</w:t>
      </w:r>
      <w:r>
        <w:rPr>
          <w:rFonts w:ascii="仿宋" w:hAnsi="仿宋" w:eastAsia="仿宋"/>
          <w:sz w:val="28"/>
          <w:szCs w:val="28"/>
        </w:rPr>
        <w:t>020</w:t>
      </w:r>
      <w:r>
        <w:rPr>
          <w:rFonts w:hint="eastAsia" w:ascii="仿宋" w:hAnsi="仿宋" w:eastAsia="仿宋"/>
          <w:sz w:val="28"/>
          <w:szCs w:val="28"/>
        </w:rPr>
        <w:t>广东国际连锁加盟展免费，人数不限。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四、报名方式（两种方式任选一种即可）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4232910</wp:posOffset>
            </wp:positionH>
            <wp:positionV relativeFrom="paragraph">
              <wp:posOffset>59055</wp:posOffset>
            </wp:positionV>
            <wp:extent cx="1048385" cy="1048385"/>
            <wp:effectExtent l="0" t="0" r="0" b="0"/>
            <wp:wrapTight wrapText="bothSides">
              <wp:wrapPolygon>
                <wp:start x="0" y="0"/>
                <wp:lineTo x="0" y="21194"/>
                <wp:lineTo x="21194" y="21194"/>
                <wp:lineTo x="21194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85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_GB2312"/>
          <w:sz w:val="28"/>
          <w:szCs w:val="28"/>
        </w:rPr>
        <w:t>1、扫描右边二维码→进入“金数据报名通道”/“广东省连锁经营协会换届大会暨2</w:t>
      </w:r>
      <w:r>
        <w:rPr>
          <w:rFonts w:ascii="仿宋" w:hAnsi="仿宋" w:eastAsia="仿宋" w:cs="仿宋_GB2312"/>
          <w:sz w:val="28"/>
          <w:szCs w:val="28"/>
        </w:rPr>
        <w:t>020</w:t>
      </w:r>
      <w:r>
        <w:rPr>
          <w:rFonts w:hint="eastAsia" w:ascii="仿宋" w:hAnsi="仿宋" w:eastAsia="仿宋" w:cs="仿宋_GB2312"/>
          <w:sz w:val="28"/>
          <w:szCs w:val="28"/>
        </w:rPr>
        <w:t>广东连锁业大会活动报名入口”消息→填写参会人员信息提交→完成报名→后续将有工作人员与之确认。</w:t>
      </w:r>
    </w:p>
    <w:p>
      <w:pPr>
        <w:spacing w:line="460" w:lineRule="exact"/>
        <w:jc w:val="center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2、请参会代表填写《参会回执》（见附件），并于8月</w:t>
      </w:r>
      <w:r>
        <w:rPr>
          <w:rFonts w:ascii="仿宋" w:hAnsi="仿宋" w:eastAsia="仿宋" w:cs="仿宋_GB2312"/>
          <w:sz w:val="28"/>
          <w:szCs w:val="28"/>
        </w:rPr>
        <w:t>2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 w:cs="仿宋_GB2312"/>
          <w:sz w:val="28"/>
          <w:szCs w:val="28"/>
        </w:rPr>
        <w:t>日前发送至协会秘书处邮箱：gdchain</w:t>
      </w:r>
      <w:r>
        <w:rPr>
          <w:rFonts w:ascii="仿宋" w:hAnsi="仿宋" w:eastAsia="仿宋" w:cs="仿宋_GB2312"/>
          <w:sz w:val="28"/>
          <w:szCs w:val="28"/>
        </w:rPr>
        <w:t>1996</w:t>
      </w:r>
      <w:r>
        <w:rPr>
          <w:rFonts w:hint="eastAsia" w:ascii="仿宋" w:hAnsi="仿宋" w:eastAsia="仿宋" w:cs="仿宋_GB2312"/>
          <w:sz w:val="28"/>
          <w:szCs w:val="28"/>
        </w:rPr>
        <w:t>@126.com。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>
      <w:pPr>
        <w:numPr>
          <w:ilvl w:val="0"/>
          <w:numId w:val="1"/>
        </w:numPr>
        <w:spacing w:line="460" w:lineRule="exact"/>
        <w:ind w:firstLine="560" w:firstLineChars="20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联系方式</w:t>
      </w:r>
    </w:p>
    <w:p>
      <w:pPr>
        <w:spacing w:line="460" w:lineRule="exact"/>
        <w:ind w:left="56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广东省连锁经营协会秘书处</w:t>
      </w:r>
    </w:p>
    <w:p>
      <w:pPr>
        <w:spacing w:line="460" w:lineRule="exact"/>
        <w:ind w:left="56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电话：020-38483951，邮箱：</w:t>
      </w:r>
      <w:r>
        <w:fldChar w:fldCharType="begin"/>
      </w:r>
      <w:r>
        <w:instrText xml:space="preserve"> HYPERLINK "mailto:gdchain1996@126.com" </w:instrText>
      </w:r>
      <w:r>
        <w:fldChar w:fldCharType="separate"/>
      </w:r>
      <w:r>
        <w:rPr>
          <w:rStyle w:val="4"/>
          <w:rFonts w:hint="eastAsia" w:ascii="仿宋" w:hAnsi="仿宋" w:eastAsia="仿宋" w:cs="黑体"/>
          <w:sz w:val="28"/>
          <w:szCs w:val="28"/>
        </w:rPr>
        <w:t>gdchain1996@126.com</w:t>
      </w:r>
      <w:r>
        <w:rPr>
          <w:rStyle w:val="4"/>
          <w:rFonts w:hint="eastAsia" w:ascii="仿宋" w:hAnsi="仿宋" w:eastAsia="仿宋" w:cs="黑体"/>
          <w:sz w:val="28"/>
          <w:szCs w:val="28"/>
        </w:rPr>
        <w:fldChar w:fldCharType="end"/>
      </w:r>
    </w:p>
    <w:p>
      <w:pPr>
        <w:spacing w:line="460" w:lineRule="exact"/>
        <w:ind w:left="560"/>
        <w:rPr>
          <w:rFonts w:ascii="仿宋" w:hAnsi="仿宋" w:eastAsia="仿宋" w:cs="黑体"/>
          <w:sz w:val="28"/>
          <w:szCs w:val="28"/>
        </w:rPr>
      </w:pPr>
      <w:r>
        <w:rPr>
          <w:rFonts w:hint="eastAsia" w:ascii="仿宋" w:hAnsi="仿宋" w:eastAsia="仿宋" w:cs="黑体"/>
          <w:sz w:val="28"/>
          <w:szCs w:val="28"/>
        </w:rPr>
        <w:t>联系人：王树鸿18620290770，潘珊珊15899974229</w:t>
      </w:r>
    </w:p>
    <w:p>
      <w:pPr>
        <w:spacing w:line="460" w:lineRule="exact"/>
        <w:rPr>
          <w:rFonts w:ascii="仿宋" w:hAnsi="仿宋" w:eastAsia="仿宋" w:cs="仿宋_GB2312"/>
          <w:sz w:val="28"/>
          <w:szCs w:val="28"/>
        </w:rPr>
      </w:pP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附件：《参会回执》</w:t>
      </w:r>
    </w:p>
    <w:p>
      <w:pPr>
        <w:spacing w:line="460" w:lineRule="exact"/>
        <w:ind w:firstLine="560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</w:t>
      </w:r>
    </w:p>
    <w:p>
      <w:pPr>
        <w:spacing w:line="460" w:lineRule="exact"/>
        <w:jc w:val="righ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            广东省连锁经营协会</w:t>
      </w:r>
    </w:p>
    <w:p>
      <w:pPr>
        <w:spacing w:line="460" w:lineRule="exact"/>
        <w:jc w:val="righ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                        2020年</w:t>
      </w:r>
      <w:r>
        <w:rPr>
          <w:rFonts w:ascii="仿宋" w:hAnsi="仿宋" w:eastAsia="仿宋" w:cs="仿宋_GB2312"/>
          <w:sz w:val="28"/>
          <w:szCs w:val="28"/>
        </w:rPr>
        <w:t>8</w:t>
      </w:r>
      <w:r>
        <w:rPr>
          <w:rFonts w:hint="eastAsia"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_GB2312"/>
          <w:sz w:val="28"/>
          <w:szCs w:val="28"/>
        </w:rPr>
        <w:t>日</w:t>
      </w:r>
    </w:p>
    <w:p>
      <w:pPr>
        <w:widowControl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ascii="仿宋" w:hAnsi="仿宋" w:eastAsia="仿宋" w:cs="仿宋_GB2312"/>
          <w:sz w:val="28"/>
          <w:szCs w:val="28"/>
        </w:rPr>
        <w:br w:type="page"/>
      </w:r>
    </w:p>
    <w:p>
      <w:pPr>
        <w:rPr>
          <w:rFonts w:ascii="仿宋" w:hAnsi="仿宋" w:eastAsia="仿宋" w:cs="Segoe UI"/>
          <w:color w:val="333333"/>
          <w:sz w:val="24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参会回执</w:t>
      </w:r>
    </w:p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时间： </w:t>
      </w:r>
      <w:r>
        <w:rPr>
          <w:rFonts w:ascii="仿宋" w:hAnsi="仿宋" w:eastAsia="仿宋"/>
          <w:sz w:val="24"/>
        </w:rPr>
        <w:t>9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4</w:t>
      </w:r>
      <w:r>
        <w:rPr>
          <w:rFonts w:hint="eastAsia" w:ascii="仿宋" w:hAnsi="仿宋" w:eastAsia="仿宋"/>
          <w:sz w:val="24"/>
        </w:rPr>
        <w:t>日（周五）全天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地点： 广州市海珠区新港东路1000号</w:t>
      </w:r>
    </w:p>
    <w:p>
      <w:pPr>
        <w:rPr>
          <w:rFonts w:ascii="仿宋" w:hAnsi="仿宋" w:eastAsia="仿宋"/>
          <w:szCs w:val="21"/>
        </w:rPr>
      </w:pPr>
    </w:p>
    <w:tbl>
      <w:tblPr>
        <w:tblStyle w:val="2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1716"/>
        <w:gridCol w:w="2417"/>
        <w:gridCol w:w="22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企业地址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微信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both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参会人</w:t>
            </w: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手机</w:t>
            </w: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邮箱</w:t>
            </w: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请勾选以下内容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□换届大会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□连锁业大会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□换届大会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□连锁业大会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□换届大会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□连锁业大会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1188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1716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417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</w:p>
        </w:tc>
        <w:tc>
          <w:tcPr>
            <w:tcW w:w="2239" w:type="dxa"/>
            <w:vAlign w:val="center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□换届大会</w:t>
            </w:r>
          </w:p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 xml:space="preserve">  □连锁业大会</w:t>
            </w:r>
          </w:p>
        </w:tc>
      </w:tr>
    </w:tbl>
    <w:p>
      <w:pPr>
        <w:rPr>
          <w:rFonts w:ascii="仿宋" w:hAnsi="仿宋" w:eastAsia="仿宋"/>
          <w:szCs w:val="21"/>
        </w:rPr>
      </w:pPr>
    </w:p>
    <w:tbl>
      <w:tblPr>
        <w:tblStyle w:val="2"/>
        <w:tblW w:w="91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7"/>
        <w:gridCol w:w="6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2877" w:type="dxa"/>
          </w:tcPr>
          <w:p>
            <w:pPr>
              <w:pStyle w:val="7"/>
              <w:framePr w:wrap="auto" w:vAnchor="margin" w:hAnchor="text" w:yAlign="inline"/>
              <w:jc w:val="center"/>
              <w:rPr>
                <w:rFonts w:ascii="仿宋" w:hAnsi="仿宋" w:eastAsia="仿宋" w:cs="仿宋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</w:rPr>
              <w:drawing>
                <wp:inline distT="0" distB="0" distL="0" distR="0">
                  <wp:extent cx="1407795" cy="1407795"/>
                  <wp:effectExtent l="0" t="0" r="1905" b="1905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4523" cy="1444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</w:tcPr>
          <w:p>
            <w:pPr>
              <w:pStyle w:val="7"/>
              <w:framePr w:wrap="auto" w:vAnchor="margin" w:hAnchor="text" w:yAlign="in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报名方式二选一：</w:t>
            </w:r>
          </w:p>
          <w:p>
            <w:pPr>
              <w:pStyle w:val="7"/>
              <w:framePr w:wrap="auto" w:vAnchor="margin" w:hAnchor="text" w:yAlign="in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1、填写参会回执发送邮件至协会秘书处</w:t>
            </w:r>
          </w:p>
          <w:p>
            <w:pPr>
              <w:pStyle w:val="7"/>
              <w:framePr w:wrap="auto" w:vAnchor="margin" w:hAnchor="text" w:yAlign="in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2、或者扫描左侧二维码进行线上报名</w:t>
            </w:r>
          </w:p>
          <w:p>
            <w:pPr>
              <w:pStyle w:val="7"/>
              <w:framePr w:wrap="auto" w:vAnchor="margin" w:hAnchor="text" w:yAlign="inline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※ 本次会议在展馆内的会议室召开，配合展会安保要求实名制，所有参会人员需提交电子名片（可随参会回执发送个人名片图片，或者线上报名上传个人名片图片）。</w:t>
            </w:r>
          </w:p>
          <w:p>
            <w:pPr>
              <w:pStyle w:val="7"/>
              <w:framePr w:wrap="auto" w:vAnchor="margin" w:hAnchor="text" w:yAlign="inline"/>
              <w:rPr>
                <w:rFonts w:ascii="仿宋" w:hAnsi="仿宋" w:eastAsia="仿宋"/>
                <w:sz w:val="21"/>
                <w:szCs w:val="21"/>
              </w:rPr>
            </w:pPr>
          </w:p>
        </w:tc>
      </w:tr>
    </w:tbl>
    <w:p>
      <w:pPr>
        <w:rPr>
          <w:rFonts w:ascii="仿宋" w:hAnsi="仿宋" w:eastAsia="仿宋"/>
          <w:szCs w:val="21"/>
        </w:rPr>
      </w:pP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1、为做好预登记报名以及提前办理观展证件，请于</w:t>
      </w:r>
      <w:r>
        <w:rPr>
          <w:rFonts w:ascii="仿宋" w:hAnsi="仿宋" w:eastAsia="仿宋"/>
          <w:sz w:val="24"/>
        </w:rPr>
        <w:t>8</w:t>
      </w:r>
      <w:r>
        <w:rPr>
          <w:rFonts w:hint="eastAsia" w:ascii="仿宋" w:hAnsi="仿宋" w:eastAsia="仿宋"/>
          <w:sz w:val="24"/>
        </w:rPr>
        <w:t>月</w:t>
      </w:r>
      <w:r>
        <w:rPr>
          <w:rFonts w:ascii="仿宋" w:hAnsi="仿宋" w:eastAsia="仿宋"/>
          <w:sz w:val="24"/>
        </w:rPr>
        <w:t>20</w:t>
      </w:r>
      <w:r>
        <w:rPr>
          <w:rFonts w:hint="eastAsia" w:ascii="仿宋" w:hAnsi="仿宋" w:eastAsia="仿宋"/>
          <w:sz w:val="24"/>
        </w:rPr>
        <w:t>日前提交报名信息。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2、广东连锁业大会限协会会员企业和定向邀请单位参加，超过免费名额收取会务费。参观连锁加盟展会免费，人数不限。</w:t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3、联系方式：电话020-38483951，邮箱</w:t>
      </w:r>
      <w:r>
        <w:fldChar w:fldCharType="begin"/>
      </w:r>
      <w:r>
        <w:instrText xml:space="preserve"> HYPERLINK "mailto:gdchain1996@126.com" </w:instrText>
      </w:r>
      <w:r>
        <w:fldChar w:fldCharType="separate"/>
      </w:r>
      <w:r>
        <w:rPr>
          <w:rFonts w:hint="eastAsia" w:ascii="仿宋" w:hAnsi="仿宋" w:eastAsia="仿宋"/>
          <w:sz w:val="24"/>
        </w:rPr>
        <w:t>gdchain1996@126.com</w:t>
      </w:r>
      <w:r>
        <w:rPr>
          <w:rFonts w:hint="eastAsia" w:ascii="仿宋" w:hAnsi="仿宋" w:eastAsia="仿宋"/>
          <w:sz w:val="24"/>
        </w:rPr>
        <w:fldChar w:fldCharType="end"/>
      </w:r>
    </w:p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联系人：王树鸿18620290770，潘珊珊15899974229，孙乐18188803644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7D5"/>
    <w:rsid w:val="00007977"/>
    <w:rsid w:val="000B052A"/>
    <w:rsid w:val="00174C28"/>
    <w:rsid w:val="001E517E"/>
    <w:rsid w:val="001E6AE3"/>
    <w:rsid w:val="002A01C7"/>
    <w:rsid w:val="002C6534"/>
    <w:rsid w:val="002D1A95"/>
    <w:rsid w:val="002F65AB"/>
    <w:rsid w:val="0039339E"/>
    <w:rsid w:val="003B7431"/>
    <w:rsid w:val="003B79CF"/>
    <w:rsid w:val="003D7CED"/>
    <w:rsid w:val="003F4F4B"/>
    <w:rsid w:val="00422EA9"/>
    <w:rsid w:val="00443C67"/>
    <w:rsid w:val="00595CE0"/>
    <w:rsid w:val="005B18CF"/>
    <w:rsid w:val="005E23E9"/>
    <w:rsid w:val="005E660A"/>
    <w:rsid w:val="00636A6D"/>
    <w:rsid w:val="006520DA"/>
    <w:rsid w:val="00690604"/>
    <w:rsid w:val="007A6407"/>
    <w:rsid w:val="007E5D08"/>
    <w:rsid w:val="00831CDA"/>
    <w:rsid w:val="008937D5"/>
    <w:rsid w:val="008D3ECE"/>
    <w:rsid w:val="008E1A59"/>
    <w:rsid w:val="009B416D"/>
    <w:rsid w:val="00A24CE4"/>
    <w:rsid w:val="00AD2074"/>
    <w:rsid w:val="00B03C19"/>
    <w:rsid w:val="00B46BAC"/>
    <w:rsid w:val="00B80E0A"/>
    <w:rsid w:val="00BB2A33"/>
    <w:rsid w:val="00BB3719"/>
    <w:rsid w:val="00BD230A"/>
    <w:rsid w:val="00BD7877"/>
    <w:rsid w:val="00C8019E"/>
    <w:rsid w:val="00CC6891"/>
    <w:rsid w:val="00D30C20"/>
    <w:rsid w:val="00DE0E1C"/>
    <w:rsid w:val="00F4604E"/>
    <w:rsid w:val="00FA5F5B"/>
    <w:rsid w:val="00FD2802"/>
    <w:rsid w:val="303C5399"/>
    <w:rsid w:val="41A9748B"/>
    <w:rsid w:val="4BC501D9"/>
    <w:rsid w:val="659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7">
    <w:name w:val="正文1"/>
    <w:qFormat/>
    <w:uiPriority w:val="0"/>
    <w:pPr>
      <w:framePr w:wrap="around" w:vAnchor="margin" w:hAnchor="text" w:yAlign="top"/>
    </w:pPr>
    <w:rPr>
      <w:rFonts w:ascii="Helvetica" w:hAnsi="Helvetica" w:eastAsia="Arial Unicode MS" w:cs="Arial Unicode MS"/>
      <w:color w:val="000000"/>
      <w:kern w:val="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309</Words>
  <Characters>1767</Characters>
  <Lines>14</Lines>
  <Paragraphs>4</Paragraphs>
  <TotalTime>251</TotalTime>
  <ScaleCrop>false</ScaleCrop>
  <LinksUpToDate>false</LinksUpToDate>
  <CharactersWithSpaces>2072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2020-08-07T03:44:00Z</dcterms:created>
  <dc:creator>GDCHAIN-F</dc:creator>
  <cp:lastModifiedBy>Nishikido You</cp:lastModifiedBy>
  <cp:lastPrinted>2020-08-07T08:03:00Z</cp:lastPrinted>
  <dcterms:modified xsi:type="dcterms:W3CDTF">2020-08-20T03:16:17Z</dcterms:modified>
  <cp:revision>301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