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附件2：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企业数字化创新案例申报表</w:t>
      </w:r>
    </w:p>
    <w:bookmarkEnd w:id="0"/>
    <w:tbl>
      <w:tblPr>
        <w:tblStyle w:val="2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446"/>
        <w:gridCol w:w="1643"/>
        <w:gridCol w:w="1331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629" w:type="dxa"/>
            <w:gridSpan w:val="5"/>
            <w:shd w:val="pct10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 w:eastAsia="zh-TW"/>
              </w:rPr>
              <w:t>一、基本资料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629" w:type="dxa"/>
            <w:gridSpan w:val="5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60" w:type="dxa"/>
            <w:gridSpan w:val="4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联系地址：</w:t>
            </w:r>
          </w:p>
        </w:tc>
        <w:tc>
          <w:tcPr>
            <w:tcW w:w="3369" w:type="dxa"/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ind w:left="12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企业网站：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84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both"/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联系人：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ind w:left="120"/>
              <w:jc w:val="both"/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>职务：</w:t>
            </w:r>
          </w:p>
        </w:tc>
        <w:tc>
          <w:tcPr>
            <w:tcW w:w="3369" w:type="dxa"/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ind w:left="120"/>
              <w:jc w:val="both"/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84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both"/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手机：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ind w:left="120"/>
              <w:jc w:val="both"/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邮箱：</w:t>
            </w:r>
          </w:p>
        </w:tc>
        <w:tc>
          <w:tcPr>
            <w:tcW w:w="3369" w:type="dxa"/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ind w:left="120"/>
              <w:jc w:val="both"/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微信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>/QQ号：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629" w:type="dxa"/>
            <w:gridSpan w:val="5"/>
            <w:shd w:val="clear" w:color="auto" w:fill="C0C0C0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both"/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/>
              </w:rPr>
              <w:t>二</w:t>
            </w: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 w:eastAsia="zh-TW"/>
              </w:rPr>
              <w:t>、企业</w:t>
            </w: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/>
              </w:rPr>
              <w:t>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929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仿宋"/>
                <w:sz w:val="21"/>
                <w:szCs w:val="21"/>
              </w:rPr>
              <w:t>20</w:t>
            </w:r>
            <w:r>
              <w:rPr>
                <w:rStyle w:val="5"/>
                <w:rFonts w:hint="eastAsia" w:ascii="宋体" w:hAnsi="宋体" w:eastAsia="宋体" w:cs="仿宋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年销售额：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 xml:space="preserve">          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万元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>；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同比增长：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 xml:space="preserve">   </w:t>
            </w:r>
            <w:r>
              <w:rPr>
                <w:rStyle w:val="5"/>
                <w:rFonts w:ascii="宋体" w:hAnsi="宋体" w:eastAsia="宋体" w:cs="仿宋"/>
                <w:sz w:val="21"/>
                <w:szCs w:val="21"/>
              </w:rPr>
              <w:t>%</w:t>
            </w:r>
          </w:p>
        </w:tc>
        <w:tc>
          <w:tcPr>
            <w:tcW w:w="4700" w:type="dxa"/>
            <w:gridSpan w:val="2"/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ind w:left="12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仿宋"/>
                <w:sz w:val="21"/>
                <w:szCs w:val="21"/>
              </w:rPr>
              <w:t>20</w:t>
            </w:r>
            <w:r>
              <w:rPr>
                <w:rStyle w:val="5"/>
                <w:rFonts w:hint="eastAsia" w:ascii="宋体" w:hAnsi="宋体" w:eastAsia="宋体" w:cs="仿宋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年销售额：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 xml:space="preserve">          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万元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>；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同比增长：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 xml:space="preserve"> </w:t>
            </w:r>
            <w:r>
              <w:rPr>
                <w:rStyle w:val="5"/>
                <w:rFonts w:ascii="宋体" w:hAnsi="宋体" w:eastAsia="宋体" w:cs="仿宋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929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both"/>
              <w:rPr>
                <w:rStyle w:val="5"/>
                <w:rFonts w:ascii="宋体" w:hAnsi="宋体" w:eastAsia="宋体" w:cs="仿宋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仿宋"/>
                <w:sz w:val="21"/>
                <w:szCs w:val="21"/>
              </w:rPr>
              <w:t>20</w:t>
            </w:r>
            <w:r>
              <w:rPr>
                <w:rStyle w:val="5"/>
                <w:rFonts w:hint="eastAsia" w:ascii="宋体" w:hAnsi="宋体" w:eastAsia="宋体" w:cs="仿宋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年门店总数：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 xml:space="preserve">          个；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同比增长：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 xml:space="preserve">   </w:t>
            </w:r>
            <w:r>
              <w:rPr>
                <w:rStyle w:val="5"/>
                <w:rFonts w:ascii="宋体" w:hAnsi="宋体" w:eastAsia="宋体" w:cs="仿宋"/>
                <w:sz w:val="21"/>
                <w:szCs w:val="21"/>
              </w:rPr>
              <w:t>%</w:t>
            </w:r>
          </w:p>
        </w:tc>
        <w:tc>
          <w:tcPr>
            <w:tcW w:w="4700" w:type="dxa"/>
            <w:gridSpan w:val="2"/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ind w:left="120"/>
              <w:jc w:val="both"/>
              <w:rPr>
                <w:rStyle w:val="5"/>
                <w:rFonts w:ascii="宋体" w:hAnsi="宋体" w:eastAsia="宋体" w:cs="仿宋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仿宋"/>
                <w:sz w:val="21"/>
                <w:szCs w:val="21"/>
              </w:rPr>
              <w:t>20</w:t>
            </w:r>
            <w:r>
              <w:rPr>
                <w:rStyle w:val="5"/>
                <w:rFonts w:hint="eastAsia" w:ascii="宋体" w:hAnsi="宋体" w:eastAsia="宋体" w:cs="仿宋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年门店总数：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 xml:space="preserve">          个；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同比增长：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 xml:space="preserve"> </w:t>
            </w:r>
            <w:r>
              <w:rPr>
                <w:rStyle w:val="5"/>
                <w:rFonts w:ascii="宋体" w:hAnsi="宋体" w:eastAsia="宋体" w:cs="仿宋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929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both"/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>其中，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直营店数：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 xml:space="preserve">       个；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加盟店数：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 xml:space="preserve">      个</w:t>
            </w:r>
          </w:p>
        </w:tc>
        <w:tc>
          <w:tcPr>
            <w:tcW w:w="4700" w:type="dxa"/>
            <w:gridSpan w:val="2"/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ind w:left="120"/>
              <w:jc w:val="both"/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>其中，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直营店数：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 xml:space="preserve">       个；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加盟店数：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 xml:space="preserve">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629" w:type="dxa"/>
            <w:gridSpan w:val="5"/>
            <w:shd w:val="pct10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/>
              </w:rPr>
              <w:t>三</w:t>
            </w: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 w:eastAsia="zh-TW"/>
              </w:rPr>
              <w:t>、创新维度（单</w:t>
            </w: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/>
              </w:rPr>
              <w:t>选</w:t>
            </w: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 w:eastAsia="zh-TW"/>
              </w:rPr>
              <w:t>或多</w:t>
            </w: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/>
              </w:rPr>
              <w:t>选</w:t>
            </w: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629" w:type="dxa"/>
            <w:gridSpan w:val="5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both"/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每个创新案例请在以下7个维度中选择一个方向，同一企业可选择申报多个创新案例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 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规划设计创新案例  </w:t>
            </w:r>
          </w:p>
        </w:tc>
        <w:tc>
          <w:tcPr>
            <w:tcW w:w="6789" w:type="dxa"/>
            <w:gridSpan w:val="4"/>
            <w:noWrap w:val="0"/>
            <w:vAlign w:val="center"/>
          </w:tcPr>
          <w:p>
            <w:pPr>
              <w:spacing w:line="240" w:lineRule="exact"/>
              <w:ind w:left="120" w:leftChars="50" w:right="120" w:right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覆盖范围：外立面、空间设计、店铺美学升级、动线设计、灯光设计、环保科技、购物环境等设计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配套服务创新    </w:t>
            </w:r>
          </w:p>
        </w:tc>
        <w:tc>
          <w:tcPr>
            <w:tcW w:w="6789" w:type="dxa"/>
            <w:gridSpan w:val="4"/>
            <w:noWrap w:val="0"/>
            <w:vAlign w:val="center"/>
          </w:tcPr>
          <w:p>
            <w:pPr>
              <w:spacing w:line="240" w:lineRule="exact"/>
              <w:ind w:left="120" w:leftChars="50" w:right="120" w:right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覆盖范围：停车场服务、厕所母婴、便利化服务、人性化服务等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3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品牌/产品优化创新</w:t>
            </w:r>
          </w:p>
        </w:tc>
        <w:tc>
          <w:tcPr>
            <w:tcW w:w="6789" w:type="dxa"/>
            <w:gridSpan w:val="4"/>
            <w:noWrap w:val="0"/>
            <w:vAlign w:val="center"/>
          </w:tcPr>
          <w:p>
            <w:pPr>
              <w:spacing w:line="240" w:lineRule="exact"/>
              <w:ind w:left="120" w:leftChars="50" w:right="120" w:right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覆盖范围：高端品牌、生鲜品类、自有品牌、设计师品牌、网红品牌、定制品牌、大</w:t>
            </w:r>
            <w:r>
              <w:rPr>
                <w:rFonts w:ascii="宋体" w:hAnsi="宋体" w:eastAsia="宋体"/>
                <w:sz w:val="21"/>
                <w:szCs w:val="21"/>
              </w:rPr>
              <w:t>IP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品牌等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4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业态跨界融合创新</w:t>
            </w:r>
          </w:p>
        </w:tc>
        <w:tc>
          <w:tcPr>
            <w:tcW w:w="6789" w:type="dxa"/>
            <w:gridSpan w:val="4"/>
            <w:noWrap w:val="0"/>
            <w:vAlign w:val="center"/>
          </w:tcPr>
          <w:p>
            <w:pPr>
              <w:spacing w:line="240" w:lineRule="exact"/>
              <w:ind w:left="120" w:leftChars="50" w:right="120" w:right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覆盖内容：包含业态组合、消费体验、场景化陈列、跨界营销、黑科技体验等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5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运营模式创新</w:t>
            </w:r>
          </w:p>
        </w:tc>
        <w:tc>
          <w:tcPr>
            <w:tcW w:w="6789" w:type="dxa"/>
            <w:gridSpan w:val="4"/>
            <w:noWrap w:val="0"/>
            <w:vAlign w:val="center"/>
          </w:tcPr>
          <w:p>
            <w:pPr>
              <w:spacing w:line="240" w:lineRule="exact"/>
              <w:ind w:left="120" w:leftChars="50" w:right="120" w:right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覆盖范围：包含全渠道运营、搭建小程序等多渠道平台、利用社交平台引流、开展直播零售、社群营销、共享员工等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6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互联网</w:t>
            </w:r>
            <w:r>
              <w:rPr>
                <w:rFonts w:ascii="宋体" w:hAnsi="宋体" w:eastAsia="宋体"/>
                <w:sz w:val="21"/>
                <w:szCs w:val="21"/>
              </w:rPr>
              <w:t>+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创新</w:t>
            </w:r>
          </w:p>
        </w:tc>
        <w:tc>
          <w:tcPr>
            <w:tcW w:w="6789" w:type="dxa"/>
            <w:gridSpan w:val="4"/>
            <w:noWrap w:val="0"/>
            <w:vAlign w:val="center"/>
          </w:tcPr>
          <w:p>
            <w:pPr>
              <w:spacing w:line="240" w:lineRule="exact"/>
              <w:ind w:left="120" w:leftChars="50" w:right="120" w:right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覆盖范围：自助收银、会员数字化、电子价签、智能化导航停车、智能化客服、大数据营销、用户精细化运营、无接触配送服务等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7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供应链创新</w:t>
            </w:r>
          </w:p>
        </w:tc>
        <w:tc>
          <w:tcPr>
            <w:tcW w:w="6789" w:type="dxa"/>
            <w:gridSpan w:val="4"/>
            <w:noWrap w:val="0"/>
            <w:vAlign w:val="center"/>
          </w:tcPr>
          <w:p>
            <w:pPr>
              <w:spacing w:line="240" w:lineRule="exact"/>
              <w:ind w:left="120" w:leftChars="50" w:right="120" w:right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覆盖范围：上游直采、重资产投资、店仓一体、供应链金融、前置仓等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8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数字文化创新</w:t>
            </w:r>
          </w:p>
        </w:tc>
        <w:tc>
          <w:tcPr>
            <w:tcW w:w="6789" w:type="dxa"/>
            <w:gridSpan w:val="4"/>
            <w:noWrap w:val="0"/>
            <w:vAlign w:val="center"/>
          </w:tcPr>
          <w:p>
            <w:pPr>
              <w:spacing w:line="240" w:lineRule="exact"/>
              <w:ind w:left="120" w:leftChars="50" w:right="120" w:right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覆盖范围：</w:t>
            </w:r>
            <w:r>
              <w:rPr>
                <w:rFonts w:ascii="宋体" w:hAnsi="宋体" w:eastAsia="宋体"/>
                <w:sz w:val="21"/>
                <w:szCs w:val="21"/>
              </w:rPr>
              <w:t>向用户提供数字文化的图像、字符、影像、语音等信息产品与服务的新兴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服务</w:t>
            </w:r>
            <w:r>
              <w:rPr>
                <w:rFonts w:ascii="宋体" w:hAnsi="宋体" w:eastAsia="宋体"/>
                <w:sz w:val="21"/>
                <w:szCs w:val="21"/>
              </w:rPr>
              <w:t>类型。比如IP、拓展周边产品、音乐视频产品等。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629" w:type="dxa"/>
            <w:gridSpan w:val="5"/>
            <w:shd w:val="pct10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both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/>
              </w:rPr>
              <w:t>四</w:t>
            </w: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TW"/>
              </w:rPr>
              <w:t>企业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zh-TW"/>
              </w:rPr>
              <w:t>创新发展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zh-TW" w:eastAsia="zh-TW"/>
              </w:rPr>
              <w:t>案例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u w:val="none" w:color="auto"/>
                <w:lang w:val="zh-CN"/>
              </w:rPr>
              <w:t>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exact"/>
          <w:jc w:val="center"/>
        </w:trPr>
        <w:tc>
          <w:tcPr>
            <w:tcW w:w="9629" w:type="dxa"/>
            <w:gridSpan w:val="5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both"/>
              <w:rPr>
                <w:rFonts w:hint="eastAsia" w:ascii="宋体" w:hAnsi="宋体" w:eastAsia="宋体"/>
                <w:sz w:val="21"/>
                <w:szCs w:val="21"/>
                <w:u w:val="none" w:color="auto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 w:color="auto"/>
                <w:lang w:val="zh-CN"/>
              </w:rPr>
              <w:t>概述需包含以下内容，可另附文字、配图说明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1创新案例实施时间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2创新案例具体介绍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3创新案例在行业内的水平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4创新案例推广范围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5创新案例目前取得的成效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数据表现形式：提高效率、降低成本、对客流、业绩的拉动等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629" w:type="dxa"/>
            <w:gridSpan w:val="5"/>
            <w:shd w:val="clear" w:color="auto" w:fill="C0C0C0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五、企业创新难点、痛点概述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629" w:type="dxa"/>
            <w:gridSpan w:val="5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每个创新难点、痛点请在以下7个维度中选择一个方向，同一企业可填写多个难点、痛点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exact"/>
          <w:jc w:val="center"/>
        </w:trPr>
        <w:tc>
          <w:tcPr>
            <w:tcW w:w="3286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1 规划设计创新案例  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2 配套服务创新    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3品牌、产品优化创新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4业态跨界融合创新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5运营模式创新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6互联网+创新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7供应链创新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数字文化</w:t>
            </w:r>
            <w:r>
              <w:rPr>
                <w:rFonts w:ascii="宋体" w:hAnsi="宋体" w:eastAsia="宋体"/>
                <w:sz w:val="21"/>
                <w:szCs w:val="21"/>
              </w:rPr>
              <w:t>创新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43" w:type="dxa"/>
            <w:gridSpan w:val="3"/>
            <w:noWrap w:val="0"/>
            <w:vAlign w:val="center"/>
          </w:tcPr>
          <w:p>
            <w:pPr>
              <w:spacing w:line="320" w:lineRule="exact"/>
              <w:ind w:left="120" w:left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概述需包含以下内容，可另附文字、配图说明</w:t>
            </w:r>
          </w:p>
          <w:p>
            <w:pPr>
              <w:spacing w:line="320" w:lineRule="exact"/>
              <w:ind w:left="120" w:leftChar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1难点、痛点案例具体介绍</w:t>
            </w:r>
          </w:p>
          <w:p>
            <w:pPr>
              <w:spacing w:line="320" w:lineRule="exact"/>
              <w:ind w:left="120" w:left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2原因（资金、技术、资源或其他）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D43C3"/>
    <w:rsid w:val="49E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B"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Arial Unicode MS" w:eastAsia="Times New Roman" w:cs="Arial Unicode MS"/>
      <w:color w:val="000000"/>
      <w:sz w:val="24"/>
      <w:szCs w:val="24"/>
      <w:u w:val="none" w:color="000000"/>
      <w:lang w:val="en-US" w:eastAsia="zh-CN" w:bidi="ar-SA"/>
    </w:rPr>
  </w:style>
  <w:style w:type="character" w:customStyle="1" w:styleId="5">
    <w:name w:val="Hyperlink.1"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2021-03-25T01:58:00Z</dcterms:created>
  <dc:creator>gdcha</dc:creator>
  <cp:lastModifiedBy>gdcha</cp:lastModifiedBy>
  <dcterms:modified xsi:type="dcterms:W3CDTF">2021-03-25T01:59:00Z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